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40" w:rsidRPr="00C65F40" w:rsidRDefault="00C65F40" w:rsidP="00C65F40">
      <w:pPr>
        <w:rPr>
          <w:rFonts w:ascii="宋体" w:hAnsi="宋体"/>
          <w:sz w:val="32"/>
          <w:szCs w:val="32"/>
        </w:rPr>
      </w:pPr>
      <w:r w:rsidRPr="00C65F40">
        <w:rPr>
          <w:rFonts w:ascii="宋体" w:hAnsi="宋体" w:hint="eastAsia"/>
          <w:sz w:val="32"/>
          <w:szCs w:val="32"/>
        </w:rPr>
        <w:t xml:space="preserve">附件1                          </w:t>
      </w:r>
    </w:p>
    <w:p w:rsidR="00C65F40" w:rsidRPr="00C65F40" w:rsidRDefault="00C65F40" w:rsidP="00C65F40">
      <w:pPr>
        <w:jc w:val="center"/>
        <w:rPr>
          <w:rFonts w:ascii="宋体" w:hAnsi="宋体"/>
          <w:b/>
          <w:bCs/>
          <w:sz w:val="36"/>
          <w:szCs w:val="36"/>
        </w:rPr>
      </w:pPr>
      <w:r w:rsidRPr="00C65F40">
        <w:rPr>
          <w:rFonts w:ascii="宋体" w:hAnsi="宋体" w:hint="eastAsia"/>
          <w:b/>
          <w:bCs/>
          <w:sz w:val="36"/>
          <w:szCs w:val="36"/>
        </w:rPr>
        <w:t>湛江市工程造价咨询机构诚信记录记分标准</w:t>
      </w:r>
    </w:p>
    <w:p w:rsidR="00C65F40" w:rsidRPr="00C65F40" w:rsidRDefault="00C65F40" w:rsidP="00C65F40">
      <w:pPr>
        <w:spacing w:line="500" w:lineRule="exact"/>
        <w:ind w:rightChars="292" w:right="613"/>
        <w:rPr>
          <w:rFonts w:ascii="宋体" w:hAnsi="宋体"/>
          <w:b/>
          <w:bCs/>
          <w:sz w:val="32"/>
          <w:szCs w:val="32"/>
        </w:rPr>
      </w:pPr>
      <w:r w:rsidRPr="00C65F40">
        <w:rPr>
          <w:rFonts w:ascii="宋体" w:hAnsi="宋体" w:hint="eastAsia"/>
          <w:spacing w:val="-12"/>
          <w:sz w:val="32"/>
          <w:szCs w:val="32"/>
        </w:rPr>
        <w:t>一、工程造价咨询</w:t>
      </w:r>
      <w:r w:rsidRPr="00C65F40">
        <w:rPr>
          <w:rFonts w:ascii="宋体" w:hAnsi="宋体" w:hint="eastAsia"/>
          <w:sz w:val="32"/>
          <w:szCs w:val="32"/>
        </w:rPr>
        <w:t>机构良好行为记录记分标准表</w:t>
      </w:r>
    </w:p>
    <w:tbl>
      <w:tblPr>
        <w:tblW w:w="9456" w:type="dxa"/>
        <w:jc w:val="center"/>
        <w:tblLayout w:type="fixed"/>
        <w:tblLook w:val="0000" w:firstRow="0" w:lastRow="0" w:firstColumn="0" w:lastColumn="0" w:noHBand="0" w:noVBand="0"/>
      </w:tblPr>
      <w:tblGrid>
        <w:gridCol w:w="942"/>
        <w:gridCol w:w="4476"/>
        <w:gridCol w:w="871"/>
        <w:gridCol w:w="1529"/>
        <w:gridCol w:w="1638"/>
      </w:tblGrid>
      <w:tr w:rsidR="00C65F40" w:rsidRPr="00C65F40" w:rsidTr="00F11B45">
        <w:trPr>
          <w:cantSplit/>
          <w:trHeight w:val="667"/>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序号</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表   现   形   式</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加 分</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加分细则</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有效期</w:t>
            </w:r>
          </w:p>
        </w:tc>
      </w:tr>
      <w:tr w:rsidR="00C65F40" w:rsidRPr="00C65F40" w:rsidTr="00F11B45">
        <w:trPr>
          <w:cantSplit/>
          <w:trHeight w:hRule="exact" w:val="3665"/>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1001</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获得县级及以上人民政府的表彰、表扬或奖励。</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5～20</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每次（每获国家级加20分/项，每获省（直辖市）级加15分/项，每获地市级加10分/项，每获县（区）级加5分/项）。</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1年（通报表扬文件发出之日起）</w:t>
            </w:r>
          </w:p>
        </w:tc>
      </w:tr>
      <w:tr w:rsidR="00C65F40" w:rsidRPr="00C65F40" w:rsidTr="00F11B45">
        <w:trPr>
          <w:cantSplit/>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1002</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在本市行政服务区域内所承接项目获得地级市及以上建设行政主管部门、工程造价主管机构的表彰、表扬或奖励。</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3～8</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每次（每获国家级加8分/项，每获省级加5分/项，每获地市级加3分/项）。</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1年（获奖文件发出之日起）</w:t>
            </w:r>
          </w:p>
        </w:tc>
      </w:tr>
      <w:tr w:rsidR="00C65F40" w:rsidRPr="00C65F40" w:rsidTr="00F11B45">
        <w:trPr>
          <w:cantSplit/>
          <w:trHeight w:val="90"/>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1003</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在湛江市住房城乡建设主管部门、工程造价主管机构组织的工程造价咨询企业检查中被通报表扬。</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5</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每次</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1年（通报表扬文件发出之日起）</w:t>
            </w:r>
          </w:p>
        </w:tc>
      </w:tr>
      <w:tr w:rsidR="00C65F40" w:rsidRPr="00C65F40" w:rsidTr="00F11B45">
        <w:trPr>
          <w:cantSplit/>
          <w:trHeight w:val="866"/>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1004</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获得湛江市工程造价主管机构通报表扬。</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3</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每次</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1年（通报表扬文件发出之日起）</w:t>
            </w:r>
          </w:p>
        </w:tc>
      </w:tr>
      <w:tr w:rsidR="00C65F40" w:rsidRPr="00C65F40" w:rsidTr="00F11B45">
        <w:trPr>
          <w:cantSplit/>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1005</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在本市行政服务区域内所承接项目的成果文件被地级市及以上工程造价协会评定为优秀成果的。</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3～5</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评为一等奖加5分/每次；</w:t>
            </w:r>
          </w:p>
          <w:p w:rsidR="00C65F40" w:rsidRPr="00C65F40" w:rsidRDefault="00C65F40" w:rsidP="00F11B45">
            <w:pPr>
              <w:spacing w:line="360" w:lineRule="exact"/>
              <w:rPr>
                <w:rFonts w:ascii="宋体" w:hAnsi="宋体"/>
                <w:sz w:val="24"/>
              </w:rPr>
            </w:pPr>
            <w:r w:rsidRPr="00C65F40">
              <w:rPr>
                <w:rFonts w:ascii="宋体" w:hAnsi="宋体" w:hint="eastAsia"/>
                <w:sz w:val="24"/>
              </w:rPr>
              <w:t>二等奖加4分/每次；</w:t>
            </w:r>
          </w:p>
          <w:p w:rsidR="00C65F40" w:rsidRPr="00C65F40" w:rsidRDefault="00C65F40" w:rsidP="00F11B45">
            <w:pPr>
              <w:spacing w:line="360" w:lineRule="exact"/>
              <w:rPr>
                <w:rFonts w:ascii="宋体" w:hAnsi="宋体"/>
                <w:sz w:val="24"/>
              </w:rPr>
            </w:pPr>
            <w:r w:rsidRPr="00C65F40">
              <w:rPr>
                <w:rFonts w:ascii="宋体" w:hAnsi="宋体" w:hint="eastAsia"/>
                <w:sz w:val="24"/>
              </w:rPr>
              <w:t>三等奖加3分/每次。</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1年（通报表扬文件发出之日起）</w:t>
            </w:r>
          </w:p>
        </w:tc>
      </w:tr>
      <w:tr w:rsidR="00C65F40" w:rsidRPr="00C65F40" w:rsidTr="00F11B45">
        <w:trPr>
          <w:cantSplit/>
          <w:trHeight w:val="1092"/>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lastRenderedPageBreak/>
              <w:t>1006</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被地级市及以上工程造价协会评选为优秀会员单位。</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3</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每次</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1年（获奖文件发出之日起）</w:t>
            </w:r>
          </w:p>
        </w:tc>
      </w:tr>
      <w:tr w:rsidR="00C65F40" w:rsidRPr="00C65F40" w:rsidTr="00F11B45">
        <w:trPr>
          <w:cantSplit/>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1007</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在社会重大突发事件中作出积极贡献，能提供政府主管部门证明的。</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2～5</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每次（县区级2分，地市级3分，省级4分，国家级5分）。</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1年（政府主管部门证明签发之日起）</w:t>
            </w:r>
          </w:p>
        </w:tc>
      </w:tr>
      <w:tr w:rsidR="00C65F40" w:rsidRPr="00C65F40" w:rsidTr="00F11B45">
        <w:trPr>
          <w:cantSplit/>
          <w:trHeight w:val="1139"/>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1008</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上一年度被工商部门授予“守合同重信用单位”称号或在税务部门纳税信用等级评定中获“A级纳税人”称号。</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2</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每次</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1年（提交证明之日起）</w:t>
            </w:r>
          </w:p>
        </w:tc>
      </w:tr>
      <w:tr w:rsidR="00C65F40" w:rsidRPr="00C65F40" w:rsidTr="00F11B45">
        <w:trPr>
          <w:cantSplit/>
          <w:trHeight w:val="1325"/>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1009</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本市行政区域内的工程项目在本市行政区域内依法纳税（含造价咨询服务增值税和所得税）作出贡献。</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每满1万元加1分</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1年（从税务部门开具发票之日起计算）</w:t>
            </w:r>
          </w:p>
        </w:tc>
      </w:tr>
      <w:tr w:rsidR="00C65F40" w:rsidRPr="00C65F40" w:rsidTr="00F11B45">
        <w:trPr>
          <w:cantSplit/>
          <w:trHeight w:val="1274"/>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1010</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非本市行政区域内的工程项目在本市行政区域内依法纳税（含造价咨询服务增值税和所得税）作出贡献。</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每满1万元加1分</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1年（从税务部门开具发票之日起计算）</w:t>
            </w:r>
          </w:p>
        </w:tc>
      </w:tr>
      <w:tr w:rsidR="00C65F40" w:rsidRPr="00C65F40" w:rsidTr="00F11B45">
        <w:trPr>
          <w:cantSplit/>
          <w:trHeight w:val="1310"/>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1011</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因工作需要，积极参加援建任务、编制计价依据、造价质量鉴定、质量检查等活动，受到市住房城乡建设主管部门行文表彰或提供证明材料。</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2</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每人次加2分</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1年（以表彰文件为准）</w:t>
            </w:r>
          </w:p>
        </w:tc>
      </w:tr>
      <w:tr w:rsidR="00C65F40" w:rsidRPr="00C65F40" w:rsidTr="00F11B45">
        <w:trPr>
          <w:cantSplit/>
          <w:trHeight w:val="1073"/>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1012</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参加湛江市工程造价协会组织的有关造价咨询或派出专家承担各项专业技术专项工作和参与动态监督检查等。</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2</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每人次加1分</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1年（以参加之日起计算）</w:t>
            </w:r>
          </w:p>
        </w:tc>
      </w:tr>
      <w:tr w:rsidR="00C65F40" w:rsidRPr="00C65F40" w:rsidTr="00F11B45">
        <w:trPr>
          <w:cantSplit/>
          <w:trHeight w:val="2014"/>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1013</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协助湛江市工程造价主管机构分类采集、编审并发布人工、材料、项目等价格信息和工程造价指标指数，以及投资咨询、造价和全过程工程咨询等服务费用的市场价格信息并得到湛江市工程造价主管机构书面认可的。</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1～5</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每次加1～5分（视其工作量、难度而定）</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1年（以上报时间为准）</w:t>
            </w:r>
          </w:p>
        </w:tc>
      </w:tr>
      <w:tr w:rsidR="00C65F40" w:rsidRPr="00C65F40" w:rsidTr="00F11B45">
        <w:trPr>
          <w:cantSplit/>
          <w:trHeight w:val="1172"/>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1014</w:t>
            </w:r>
          </w:p>
        </w:tc>
        <w:tc>
          <w:tcPr>
            <w:tcW w:w="447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报送建设工程造价经济指标数据被采用的。</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2</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每条加2分</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1年（以经济指标发布之日起计算）</w:t>
            </w:r>
          </w:p>
        </w:tc>
      </w:tr>
      <w:tr w:rsidR="00C65F40" w:rsidRPr="00C65F40" w:rsidTr="00F11B45">
        <w:trPr>
          <w:cantSplit/>
          <w:jc w:val="center"/>
        </w:trPr>
        <w:tc>
          <w:tcPr>
            <w:tcW w:w="942"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lastRenderedPageBreak/>
              <w:t>1015</w:t>
            </w:r>
          </w:p>
        </w:tc>
        <w:tc>
          <w:tcPr>
            <w:tcW w:w="4476" w:type="dxa"/>
            <w:tcBorders>
              <w:top w:val="single" w:sz="4" w:space="0" w:color="auto"/>
              <w:left w:val="nil"/>
              <w:bottom w:val="single" w:sz="4" w:space="0" w:color="auto"/>
              <w:right w:val="single" w:sz="4" w:space="0" w:color="auto"/>
            </w:tcBorders>
          </w:tcPr>
          <w:p w:rsidR="00C65F40" w:rsidRPr="00C65F40" w:rsidRDefault="00C65F40" w:rsidP="00F11B45">
            <w:pPr>
              <w:spacing w:line="360" w:lineRule="exact"/>
              <w:rPr>
                <w:rFonts w:ascii="宋体" w:hAnsi="宋体"/>
                <w:sz w:val="24"/>
              </w:rPr>
            </w:pPr>
            <w:r w:rsidRPr="00C65F40">
              <w:rPr>
                <w:rFonts w:ascii="宋体" w:hAnsi="宋体" w:hint="eastAsia"/>
                <w:sz w:val="24"/>
              </w:rPr>
              <w:t>在本市行政区域内完成的预结算造价咨询业绩：</w:t>
            </w:r>
          </w:p>
          <w:p w:rsidR="00C65F40" w:rsidRPr="00C65F40" w:rsidRDefault="00C65F40" w:rsidP="00F11B45">
            <w:pPr>
              <w:spacing w:line="360" w:lineRule="exact"/>
              <w:ind w:firstLineChars="200" w:firstLine="480"/>
              <w:rPr>
                <w:rFonts w:ascii="宋体" w:hAnsi="宋体"/>
                <w:sz w:val="24"/>
              </w:rPr>
            </w:pPr>
            <w:r w:rsidRPr="00C65F40">
              <w:rPr>
                <w:rFonts w:ascii="宋体" w:hAnsi="宋体" w:hint="eastAsia"/>
                <w:sz w:val="24"/>
              </w:rPr>
              <w:t>1.按项目累计造价金额计算，累计完成的造价金额500万以下得1分；500万～1000万得2分；1000万～5000万得3分；5000万～1亿得4分；1亿以上得5分（每超1亿加1分）。</w:t>
            </w:r>
          </w:p>
          <w:p w:rsidR="00C65F40" w:rsidRPr="00C65F40" w:rsidRDefault="00C65F40" w:rsidP="00F11B45">
            <w:pPr>
              <w:spacing w:line="360" w:lineRule="exact"/>
              <w:ind w:firstLineChars="200" w:firstLine="480"/>
              <w:rPr>
                <w:rFonts w:ascii="宋体" w:hAnsi="宋体"/>
                <w:sz w:val="24"/>
              </w:rPr>
            </w:pPr>
            <w:r w:rsidRPr="00C65F40">
              <w:rPr>
                <w:rFonts w:ascii="宋体" w:hAnsi="宋体" w:hint="eastAsia"/>
                <w:sz w:val="24"/>
              </w:rPr>
              <w:t>2.按项目累计数量计算，累计完成每5项得1分。</w:t>
            </w:r>
          </w:p>
          <w:p w:rsidR="00C65F40" w:rsidRPr="00C65F40" w:rsidRDefault="00C65F40" w:rsidP="00F11B45">
            <w:pPr>
              <w:spacing w:line="360" w:lineRule="exact"/>
              <w:ind w:firstLineChars="200" w:firstLine="480"/>
              <w:rPr>
                <w:rFonts w:ascii="宋体" w:hAnsi="宋体"/>
                <w:sz w:val="24"/>
              </w:rPr>
            </w:pPr>
            <w:r w:rsidRPr="00C65F40">
              <w:rPr>
                <w:rFonts w:ascii="宋体" w:hAnsi="宋体" w:hint="eastAsia"/>
                <w:sz w:val="24"/>
              </w:rPr>
              <w:t>3.工程项目全过程造价咨询服务，按项目累计造价金额计算，累计完成的造价金额500万以下得3分；500万～1000万得4分；1000万～5000万得5分；5000万～1亿得6分；1亿元～5亿元的得8分； 5亿～10亿得10分（每超1亿加2分）。全过程造价咨询服务周期超过2年的项目可选择签订合同时按合同金额加一半分数，项目完成后根据实际结算金额加剩余分数。</w:t>
            </w:r>
          </w:p>
          <w:p w:rsidR="00C65F40" w:rsidRPr="00C65F40" w:rsidRDefault="00C65F40" w:rsidP="00F11B45">
            <w:pPr>
              <w:spacing w:line="360" w:lineRule="exact"/>
              <w:ind w:firstLineChars="200" w:firstLine="480"/>
              <w:rPr>
                <w:rFonts w:ascii="宋体" w:hAnsi="宋体"/>
                <w:sz w:val="24"/>
              </w:rPr>
            </w:pPr>
            <w:r w:rsidRPr="00C65F40">
              <w:rPr>
                <w:rFonts w:ascii="宋体" w:hAnsi="宋体" w:hint="eastAsia"/>
                <w:sz w:val="24"/>
              </w:rPr>
              <w:t>以上3项合计每月不超过30分。</w:t>
            </w:r>
          </w:p>
        </w:tc>
        <w:tc>
          <w:tcPr>
            <w:tcW w:w="87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1～30</w:t>
            </w:r>
          </w:p>
        </w:tc>
        <w:tc>
          <w:tcPr>
            <w:tcW w:w="1529"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rPr>
                <w:rFonts w:ascii="宋体" w:hAnsi="宋体"/>
                <w:sz w:val="24"/>
              </w:rPr>
            </w:pPr>
            <w:r w:rsidRPr="00C65F40">
              <w:rPr>
                <w:rFonts w:ascii="宋体" w:hAnsi="宋体" w:hint="eastAsia"/>
                <w:sz w:val="24"/>
              </w:rPr>
              <w:t>业绩加分每个月申报一次，成果文件自完成报告并得到认可之日起半年内有效，逾期不予受理。同一个项目只能选择一种加分方式，司法鉴定成果文件在每档次上多加一分，所报加分项工程需已将成果文件电子版上传到诚信系统。</w:t>
            </w:r>
          </w:p>
        </w:tc>
        <w:tc>
          <w:tcPr>
            <w:tcW w:w="1638"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360" w:lineRule="exact"/>
              <w:jc w:val="center"/>
              <w:rPr>
                <w:rFonts w:ascii="宋体" w:hAnsi="宋体"/>
                <w:sz w:val="24"/>
              </w:rPr>
            </w:pPr>
            <w:r w:rsidRPr="00C65F40">
              <w:rPr>
                <w:rFonts w:ascii="宋体" w:hAnsi="宋体" w:hint="eastAsia"/>
                <w:sz w:val="24"/>
              </w:rPr>
              <w:t>1年</w:t>
            </w:r>
          </w:p>
        </w:tc>
      </w:tr>
    </w:tbl>
    <w:p w:rsidR="00C65F40" w:rsidRPr="00C65F40" w:rsidRDefault="00C65F40" w:rsidP="00C65F40">
      <w:pPr>
        <w:spacing w:line="360" w:lineRule="exact"/>
        <w:ind w:rightChars="292" w:right="613"/>
        <w:rPr>
          <w:rFonts w:ascii="宋体" w:hAnsi="宋体"/>
          <w:spacing w:val="-12"/>
          <w:sz w:val="32"/>
          <w:szCs w:val="32"/>
        </w:rPr>
      </w:pPr>
    </w:p>
    <w:p w:rsidR="00C65F40" w:rsidRPr="00C65F40" w:rsidRDefault="00C65F40" w:rsidP="00C65F40">
      <w:pPr>
        <w:spacing w:line="360" w:lineRule="exact"/>
        <w:ind w:rightChars="292" w:right="613"/>
        <w:rPr>
          <w:rFonts w:ascii="宋体" w:hAnsi="宋体"/>
          <w:spacing w:val="-12"/>
          <w:sz w:val="32"/>
          <w:szCs w:val="32"/>
        </w:rPr>
      </w:pPr>
    </w:p>
    <w:p w:rsidR="00C65F40" w:rsidRPr="00C65F40" w:rsidRDefault="00C65F40" w:rsidP="00C65F40">
      <w:pPr>
        <w:spacing w:line="360" w:lineRule="exact"/>
        <w:ind w:rightChars="292" w:right="613"/>
        <w:rPr>
          <w:rFonts w:ascii="宋体" w:hAnsi="宋体"/>
          <w:spacing w:val="-12"/>
          <w:sz w:val="32"/>
          <w:szCs w:val="32"/>
        </w:rPr>
      </w:pPr>
    </w:p>
    <w:p w:rsidR="00C65F40" w:rsidRPr="00C65F40" w:rsidRDefault="00C65F40" w:rsidP="00C65F40">
      <w:pPr>
        <w:spacing w:line="360" w:lineRule="exact"/>
        <w:ind w:rightChars="292" w:right="613"/>
        <w:rPr>
          <w:rFonts w:ascii="宋体" w:hAnsi="宋体"/>
          <w:spacing w:val="-12"/>
          <w:sz w:val="32"/>
          <w:szCs w:val="32"/>
        </w:rPr>
      </w:pPr>
    </w:p>
    <w:p w:rsidR="00C65F40" w:rsidRPr="00C65F40" w:rsidRDefault="00C65F40" w:rsidP="00C65F40">
      <w:pPr>
        <w:spacing w:line="360" w:lineRule="exact"/>
        <w:ind w:rightChars="292" w:right="613"/>
        <w:rPr>
          <w:rFonts w:ascii="宋体" w:hAnsi="宋体"/>
          <w:spacing w:val="-12"/>
          <w:sz w:val="32"/>
          <w:szCs w:val="32"/>
        </w:rPr>
      </w:pPr>
    </w:p>
    <w:p w:rsidR="00C65F40" w:rsidRPr="00C65F40" w:rsidRDefault="00C65F40" w:rsidP="00C65F40">
      <w:pPr>
        <w:spacing w:line="360" w:lineRule="exact"/>
        <w:ind w:rightChars="292" w:right="613"/>
        <w:rPr>
          <w:rFonts w:ascii="宋体" w:hAnsi="宋体"/>
          <w:spacing w:val="-12"/>
          <w:sz w:val="32"/>
          <w:szCs w:val="32"/>
        </w:rPr>
      </w:pPr>
    </w:p>
    <w:p w:rsidR="00C65F40" w:rsidRPr="00C65F40" w:rsidRDefault="00C65F40" w:rsidP="00C65F40">
      <w:pPr>
        <w:spacing w:line="500" w:lineRule="exact"/>
        <w:ind w:rightChars="292" w:right="613"/>
        <w:rPr>
          <w:rFonts w:ascii="宋体" w:hAnsi="宋体"/>
          <w:spacing w:val="-12"/>
          <w:sz w:val="32"/>
          <w:szCs w:val="32"/>
        </w:rPr>
      </w:pPr>
    </w:p>
    <w:p w:rsidR="00C65F40" w:rsidRPr="00C65F40" w:rsidRDefault="00C65F40" w:rsidP="00C65F40">
      <w:pPr>
        <w:spacing w:line="500" w:lineRule="exact"/>
        <w:ind w:rightChars="292" w:right="613"/>
        <w:rPr>
          <w:rFonts w:ascii="宋体" w:hAnsi="宋体"/>
          <w:spacing w:val="-12"/>
          <w:sz w:val="32"/>
          <w:szCs w:val="32"/>
        </w:rPr>
      </w:pPr>
    </w:p>
    <w:p w:rsidR="00C65F40" w:rsidRPr="00C65F40" w:rsidRDefault="00C65F40" w:rsidP="00C65F40">
      <w:pPr>
        <w:spacing w:line="500" w:lineRule="exact"/>
        <w:ind w:rightChars="292" w:right="613"/>
        <w:rPr>
          <w:rFonts w:ascii="宋体" w:hAnsi="宋体"/>
          <w:spacing w:val="-12"/>
          <w:sz w:val="32"/>
          <w:szCs w:val="32"/>
        </w:rPr>
      </w:pPr>
    </w:p>
    <w:p w:rsidR="00C65F40" w:rsidRPr="00C65F40" w:rsidRDefault="00C65F40" w:rsidP="00C65F40">
      <w:pPr>
        <w:spacing w:line="500" w:lineRule="exact"/>
        <w:ind w:rightChars="292" w:right="613"/>
        <w:rPr>
          <w:rFonts w:ascii="宋体" w:hAnsi="宋体"/>
          <w:spacing w:val="-12"/>
          <w:sz w:val="32"/>
          <w:szCs w:val="32"/>
        </w:rPr>
      </w:pPr>
    </w:p>
    <w:p w:rsidR="00C65F40" w:rsidRPr="00C65F40" w:rsidRDefault="00C65F40" w:rsidP="00C65F40">
      <w:pPr>
        <w:spacing w:line="500" w:lineRule="exact"/>
        <w:ind w:rightChars="292" w:right="613"/>
        <w:rPr>
          <w:rFonts w:ascii="宋体" w:hAnsi="宋体"/>
          <w:spacing w:val="-12"/>
          <w:sz w:val="32"/>
          <w:szCs w:val="32"/>
        </w:rPr>
      </w:pPr>
    </w:p>
    <w:p w:rsidR="00C65F40" w:rsidRPr="00C65F40" w:rsidRDefault="00C65F40" w:rsidP="00C65F40">
      <w:pPr>
        <w:spacing w:line="500" w:lineRule="exact"/>
        <w:ind w:rightChars="292" w:right="613"/>
        <w:rPr>
          <w:rFonts w:ascii="宋体" w:hAnsi="宋体"/>
          <w:spacing w:val="-12"/>
          <w:sz w:val="32"/>
          <w:szCs w:val="32"/>
        </w:rPr>
      </w:pPr>
    </w:p>
    <w:p w:rsidR="00C65F40" w:rsidRPr="00C65F40" w:rsidRDefault="00C65F40" w:rsidP="00C65F40">
      <w:pPr>
        <w:spacing w:line="500" w:lineRule="exact"/>
        <w:ind w:rightChars="292" w:right="613"/>
        <w:rPr>
          <w:rFonts w:ascii="宋体" w:hAnsi="宋体"/>
          <w:spacing w:val="-12"/>
          <w:sz w:val="32"/>
          <w:szCs w:val="32"/>
        </w:rPr>
      </w:pPr>
    </w:p>
    <w:p w:rsidR="00C65F40" w:rsidRPr="00C65F40" w:rsidRDefault="00C65F40" w:rsidP="00C65F40">
      <w:pPr>
        <w:spacing w:line="500" w:lineRule="exact"/>
        <w:ind w:rightChars="292" w:right="613"/>
        <w:rPr>
          <w:rFonts w:ascii="宋体" w:hAnsi="宋体"/>
          <w:spacing w:val="-12"/>
          <w:sz w:val="32"/>
          <w:szCs w:val="32"/>
        </w:rPr>
      </w:pPr>
    </w:p>
    <w:p w:rsidR="00C65F40" w:rsidRPr="00C65F40" w:rsidRDefault="00C65F40" w:rsidP="00C65F40">
      <w:pPr>
        <w:spacing w:line="500" w:lineRule="exact"/>
        <w:ind w:rightChars="292" w:right="613"/>
        <w:rPr>
          <w:rFonts w:ascii="宋体" w:hAnsi="宋体"/>
          <w:spacing w:val="-12"/>
          <w:sz w:val="32"/>
          <w:szCs w:val="32"/>
        </w:rPr>
      </w:pPr>
      <w:r w:rsidRPr="00C65F40">
        <w:rPr>
          <w:rFonts w:ascii="宋体" w:hAnsi="宋体" w:hint="eastAsia"/>
          <w:spacing w:val="-12"/>
          <w:sz w:val="32"/>
          <w:szCs w:val="32"/>
        </w:rPr>
        <w:lastRenderedPageBreak/>
        <w:t>二、工程造价咨询机构不良行为记录记分标准表</w:t>
      </w:r>
    </w:p>
    <w:tbl>
      <w:tblPr>
        <w:tblW w:w="9418" w:type="dxa"/>
        <w:jc w:val="center"/>
        <w:tblLayout w:type="fixed"/>
        <w:tblLook w:val="0000" w:firstRow="0" w:lastRow="0" w:firstColumn="0" w:lastColumn="0" w:noHBand="0" w:noVBand="0"/>
      </w:tblPr>
      <w:tblGrid>
        <w:gridCol w:w="841"/>
        <w:gridCol w:w="5216"/>
        <w:gridCol w:w="1095"/>
        <w:gridCol w:w="1281"/>
        <w:gridCol w:w="985"/>
      </w:tblGrid>
      <w:tr w:rsidR="00C65F40" w:rsidRPr="00C65F40" w:rsidTr="00F11B45">
        <w:trPr>
          <w:cantSplit/>
          <w:trHeight w:val="521"/>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序号</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表   现   形   式</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扣 分</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扣分细则</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有效期</w:t>
            </w:r>
          </w:p>
        </w:tc>
      </w:tr>
      <w:tr w:rsidR="00C65F40" w:rsidRPr="00C65F40" w:rsidTr="00F11B45">
        <w:trPr>
          <w:cantSplit/>
          <w:trHeight w:val="521"/>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1101</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允许其他企业借用本企业名义从事造价咨询活动。</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20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09"/>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1102</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有意抬高、压低价格或者提供虚假报告的。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20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49"/>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1103</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以给予回扣、恶意压低收费等方式进行不正当竞争。</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20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49"/>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1104</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同时接受发包人和承包人、招标人和投标人、两个以上投标人对同一工程项目的工程造价咨询业务。</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520"/>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1105</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转包或承接他人转包的工程造价咨询业务。</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每项</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07"/>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1106</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弄虚作假，伪造业绩材料、提供虚假资料和信息参与诚信评价申报或其他活动。</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每项</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07"/>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1107</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以弄虚作假手段协助他人在本企业申请造价工程师注册。</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07"/>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1108</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被举报、投诉（含12345），经住房城乡建设主管部门核查属实。</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3</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606"/>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1109</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因违法、违规等不良行为被住房城乡建设主管部门约谈的。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536"/>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1110</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left"/>
              <w:rPr>
                <w:rFonts w:ascii="宋体" w:hAnsi="宋体"/>
                <w:sz w:val="24"/>
              </w:rPr>
            </w:pPr>
            <w:r w:rsidRPr="00C65F40">
              <w:rPr>
                <w:rFonts w:ascii="宋体" w:hAnsi="宋体" w:hint="eastAsia"/>
                <w:sz w:val="24"/>
              </w:rPr>
              <w:t>出具虚假、不实或误导性工程造价成果文件。</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1111</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被委托人举证存在未按合同约定或行业规定开展造价咨询活动的，或因过错给委托人造成经济损失。</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1112</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承接被审核、被评审、被审计单位与本企业有利害关系的工程造价咨询业务。</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每项</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1062"/>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1113</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编制投资估算、概算、预算或者最高投标限价、结算等工程造价文件的质量偏差率，分别超过规定的20%、10%、5%、5%。</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每项</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696"/>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1114</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计价不执行强制性标准，或拒不执行造价主管机构的调解和解释意见的。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66"/>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1115</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营业执照或造价专业人员变更未及时申报的。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lastRenderedPageBreak/>
              <w:t>1116</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本单位或单位从业人员被有关主管部门通报批评的。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3～8</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国家部委每次扣8分；省级每次扣5分；</w:t>
            </w:r>
          </w:p>
          <w:p w:rsidR="00C65F40" w:rsidRPr="00C65F40" w:rsidRDefault="00C65F40" w:rsidP="00F11B45">
            <w:pPr>
              <w:spacing w:line="400" w:lineRule="exact"/>
              <w:rPr>
                <w:rFonts w:ascii="宋体" w:hAnsi="宋体"/>
                <w:sz w:val="24"/>
              </w:rPr>
            </w:pPr>
            <w:r w:rsidRPr="00C65F40">
              <w:rPr>
                <w:rFonts w:ascii="宋体" w:hAnsi="宋体" w:hint="eastAsia"/>
                <w:sz w:val="24"/>
              </w:rPr>
              <w:t>地市级每次扣4分；</w:t>
            </w:r>
          </w:p>
          <w:p w:rsidR="00C65F40" w:rsidRPr="00C65F40" w:rsidRDefault="00C65F40" w:rsidP="00F11B45">
            <w:pPr>
              <w:spacing w:line="400" w:lineRule="exact"/>
              <w:rPr>
                <w:rFonts w:ascii="宋体" w:hAnsi="宋体"/>
                <w:sz w:val="24"/>
              </w:rPr>
            </w:pPr>
            <w:r w:rsidRPr="00C65F40">
              <w:rPr>
                <w:rFonts w:ascii="宋体" w:hAnsi="宋体" w:hint="eastAsia"/>
                <w:sz w:val="24"/>
              </w:rPr>
              <w:t>县（区）级每次扣3分。</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1117</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在湛江市住房城乡建设主管部门组织的工程造价咨询企业检查中被通报批评或要求限期整改。</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1年（通报批评文件发出之日起）</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1118</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在住房城乡建设主管部门要求的限期整改期限内，未进行有效整改或整改仍不合格的。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1119</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不配合住房城乡建设主管部门的监督、检查的，或拒绝提供反映活动情况真实材料的。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1120</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监督抽查发现工程造价文件存在问题的。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w:t>
            </w:r>
            <w:r w:rsidRPr="00C65F40">
              <w:rPr>
                <w:rFonts w:ascii="宋体" w:hAnsi="宋体" w:hint="eastAsia"/>
                <w:szCs w:val="21"/>
              </w:rPr>
              <w:t>～</w:t>
            </w:r>
            <w:r w:rsidRPr="00C65F40">
              <w:rPr>
                <w:rFonts w:ascii="宋体" w:hAnsi="宋体" w:hint="eastAsia"/>
                <w:sz w:val="24"/>
              </w:rPr>
              <w:t>10</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每项存在问题扣1分，通病问题或重复出现问题每项扣2分，每份成果文件最高不超过10分。</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1121</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工程造价文件格式或签署签章不符合规定要求的。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每项存在问题扣1分，最高不超过5分。</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655"/>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lastRenderedPageBreak/>
              <w:t>1122</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向各行政主管部门提交虚假材料和信息的，或故意捏造事实、伪造证明材料投诉他人的。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1123</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从业人员调出（聘用合同已中止）后无故扣押其证件的。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每人次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1124</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违反建设工程计价依据开展造价咨询业务，并且不执行市造价主管机构作出的书面解释或认定，有意抬高、压低工程造价的。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1125</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申报业绩时通过改变工程名称、金额、日期等信息规避系统检索而重复申报的。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3</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533"/>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1126</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不真实记录或者不妥善保存工程造价咨询原始记录的。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723"/>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1127</w:t>
            </w:r>
          </w:p>
        </w:tc>
        <w:tc>
          <w:tcPr>
            <w:tcW w:w="5216" w:type="dxa"/>
            <w:tcBorders>
              <w:top w:val="single" w:sz="4" w:space="0" w:color="auto"/>
              <w:left w:val="nil"/>
              <w:bottom w:val="single" w:sz="4" w:space="0" w:color="auto"/>
              <w:right w:val="single" w:sz="4" w:space="0" w:color="auto"/>
            </w:tcBorders>
          </w:tcPr>
          <w:p w:rsidR="00C65F40" w:rsidRPr="00C65F40" w:rsidRDefault="00C65F40" w:rsidP="00F11B45">
            <w:pPr>
              <w:spacing w:line="400" w:lineRule="exact"/>
              <w:rPr>
                <w:rFonts w:ascii="宋体" w:hAnsi="宋体"/>
                <w:sz w:val="24"/>
              </w:rPr>
            </w:pPr>
            <w:r w:rsidRPr="00C65F40">
              <w:rPr>
                <w:rFonts w:ascii="宋体" w:hAnsi="宋体" w:hint="eastAsia"/>
                <w:sz w:val="24"/>
              </w:rPr>
              <w:t>从业人员执业存在索贿、受贿或谋取合同约定费用外的其他利益。</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每人次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59"/>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1128</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相互串通签订“阴阳合同”的。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65"/>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1129</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不履行合同约定，拖延提交成果文件的时间。</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981"/>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1130</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签订合同未按要求使用范本，或签订合同时对咨询项目、服务内容、咨询期限、收费额度、成果质量和违约责任无明确约定的。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3</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6个月</w:t>
            </w:r>
          </w:p>
        </w:tc>
      </w:tr>
      <w:tr w:rsidR="00C65F40" w:rsidRPr="00C65F40" w:rsidTr="00F11B45">
        <w:trPr>
          <w:cantSplit/>
          <w:trHeight w:val="696"/>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1131</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未按要求派员参加各级住房城乡建设主管部门或工程造价主管机构召开的会议或活动的。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3</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736"/>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1132</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被行业协会举证存在不正当竞争、获益等违反行业自律的行为。</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3</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65"/>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1133</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行业协会按规定要求其派出专家参与检查等活动，拒不参加的。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2</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65"/>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1134</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无正当理由不配合造价主管机构处理工程造价纠纷的。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3</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1年</w:t>
            </w:r>
          </w:p>
        </w:tc>
      </w:tr>
      <w:tr w:rsidR="00C65F40" w:rsidRPr="00C65F40" w:rsidTr="00F11B45">
        <w:trPr>
          <w:cantSplit/>
          <w:trHeight w:val="465"/>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1135</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工程造价文件档案不完整、不真实的；无专用档案室、档案管理员的。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5</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6个月</w:t>
            </w:r>
          </w:p>
        </w:tc>
      </w:tr>
      <w:tr w:rsidR="00C65F40" w:rsidRPr="00C65F40" w:rsidTr="00F11B45">
        <w:trPr>
          <w:cantSplit/>
          <w:trHeight w:val="457"/>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1136</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缺少执业质量控制制度的。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2</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6个月</w:t>
            </w:r>
          </w:p>
        </w:tc>
      </w:tr>
      <w:tr w:rsidR="00C65F40" w:rsidRPr="00C65F40" w:rsidTr="00F11B45">
        <w:trPr>
          <w:cantSplit/>
          <w:trHeight w:val="455"/>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1137</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缺少内部操作规程的。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2</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6个月</w:t>
            </w:r>
          </w:p>
        </w:tc>
      </w:tr>
      <w:tr w:rsidR="00C65F40" w:rsidRPr="00C65F40" w:rsidTr="00F11B45">
        <w:trPr>
          <w:cantSplit/>
          <w:trHeight w:val="466"/>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1138</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缺少财务制度的。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2</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6个月</w:t>
            </w:r>
          </w:p>
        </w:tc>
      </w:tr>
      <w:tr w:rsidR="00C65F40" w:rsidRPr="00C65F40" w:rsidTr="00F11B45">
        <w:trPr>
          <w:cantSplit/>
          <w:trHeight w:val="722"/>
          <w:jc w:val="center"/>
        </w:trPr>
        <w:tc>
          <w:tcPr>
            <w:tcW w:w="841" w:type="dxa"/>
            <w:tcBorders>
              <w:top w:val="single" w:sz="4" w:space="0" w:color="auto"/>
              <w:left w:val="single" w:sz="4" w:space="0" w:color="auto"/>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1139</w:t>
            </w:r>
          </w:p>
        </w:tc>
        <w:tc>
          <w:tcPr>
            <w:tcW w:w="5216"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rPr>
                <w:rFonts w:ascii="宋体" w:hAnsi="宋体"/>
                <w:sz w:val="24"/>
              </w:rPr>
            </w:pPr>
            <w:r w:rsidRPr="00C65F40">
              <w:rPr>
                <w:rFonts w:ascii="宋体" w:hAnsi="宋体" w:hint="eastAsia"/>
                <w:sz w:val="24"/>
              </w:rPr>
              <w:t>不按时填报各类报表、信息或填报内容虚假、填报质量差的。</w:t>
            </w:r>
          </w:p>
        </w:tc>
        <w:tc>
          <w:tcPr>
            <w:tcW w:w="109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2</w:t>
            </w:r>
          </w:p>
        </w:tc>
        <w:tc>
          <w:tcPr>
            <w:tcW w:w="1281"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每次</w:t>
            </w:r>
          </w:p>
        </w:tc>
        <w:tc>
          <w:tcPr>
            <w:tcW w:w="985" w:type="dxa"/>
            <w:tcBorders>
              <w:top w:val="single" w:sz="4" w:space="0" w:color="auto"/>
              <w:left w:val="nil"/>
              <w:bottom w:val="single" w:sz="4" w:space="0" w:color="auto"/>
              <w:right w:val="single" w:sz="4" w:space="0" w:color="auto"/>
            </w:tcBorders>
            <w:vAlign w:val="center"/>
          </w:tcPr>
          <w:p w:rsidR="00C65F40" w:rsidRPr="00C65F40" w:rsidRDefault="00C65F40" w:rsidP="00F11B45">
            <w:pPr>
              <w:spacing w:line="400" w:lineRule="exact"/>
              <w:jc w:val="center"/>
              <w:rPr>
                <w:rFonts w:ascii="宋体" w:hAnsi="宋体"/>
                <w:sz w:val="24"/>
              </w:rPr>
            </w:pPr>
            <w:r w:rsidRPr="00C65F40">
              <w:rPr>
                <w:rFonts w:ascii="宋体" w:hAnsi="宋体" w:hint="eastAsia"/>
                <w:sz w:val="24"/>
              </w:rPr>
              <w:t>6个月</w:t>
            </w:r>
          </w:p>
        </w:tc>
      </w:tr>
    </w:tbl>
    <w:p w:rsidR="00101A91" w:rsidRPr="00C65F40" w:rsidRDefault="00101A91" w:rsidP="002B47DF">
      <w:pPr>
        <w:rPr>
          <w:rFonts w:ascii="宋体" w:hAnsi="宋体" w:hint="eastAsia"/>
        </w:rPr>
      </w:pPr>
      <w:bookmarkStart w:id="0" w:name="_GoBack"/>
      <w:bookmarkEnd w:id="0"/>
    </w:p>
    <w:sectPr w:rsidR="00101A91" w:rsidRPr="00C65F40">
      <w:headerReference w:type="default" r:id="rId6"/>
      <w:footerReference w:type="default" r:id="rId7"/>
      <w:pgSz w:w="11906" w:h="16838"/>
      <w:pgMar w:top="1440" w:right="1531" w:bottom="1276"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471" w:rsidRDefault="00AC6471">
      <w:r>
        <w:separator/>
      </w:r>
    </w:p>
  </w:endnote>
  <w:endnote w:type="continuationSeparator" w:id="0">
    <w:p w:rsidR="00AC6471" w:rsidRDefault="00AC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E2" w:rsidRDefault="00C65F40">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A38E2" w:rsidRDefault="00C65F40">
                          <w:pPr>
                            <w:pStyle w:val="a7"/>
                          </w:pPr>
                          <w:r>
                            <w:fldChar w:fldCharType="begin"/>
                          </w:r>
                          <w:r>
                            <w:rPr>
                              <w:rStyle w:val="ac"/>
                            </w:rPr>
                            <w:instrText xml:space="preserve"> PAGE  </w:instrText>
                          </w:r>
                          <w:r>
                            <w:fldChar w:fldCharType="separate"/>
                          </w:r>
                          <w:r w:rsidR="002B47DF">
                            <w:rPr>
                              <w:rStyle w:val="ac"/>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DZg3JS+AgAA&#10;sgUAAA4AAAAAAAAAAAAAAAAALgIAAGRycy9lMm9Eb2MueG1sUEsBAi0AFAAGAAgAAAAhAAiJARHX&#10;AAAAAwEAAA8AAAAAAAAAAAAAAAAAGAUAAGRycy9kb3ducmV2LnhtbFBLBQYAAAAABAAEAPMAAAAc&#10;BgAAAAA=&#10;" filled="f" stroked="f">
              <v:textbox style="mso-fit-shape-to-text:t" inset="0,0,0,0">
                <w:txbxContent>
                  <w:p w:rsidR="001A38E2" w:rsidRDefault="00C65F40">
                    <w:pPr>
                      <w:pStyle w:val="a7"/>
                    </w:pPr>
                    <w:r>
                      <w:fldChar w:fldCharType="begin"/>
                    </w:r>
                    <w:r>
                      <w:rPr>
                        <w:rStyle w:val="ac"/>
                      </w:rPr>
                      <w:instrText xml:space="preserve"> PAGE  </w:instrText>
                    </w:r>
                    <w:r>
                      <w:fldChar w:fldCharType="separate"/>
                    </w:r>
                    <w:r w:rsidR="002B47DF">
                      <w:rPr>
                        <w:rStyle w:val="ac"/>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471" w:rsidRDefault="00AC6471">
      <w:r>
        <w:separator/>
      </w:r>
    </w:p>
  </w:footnote>
  <w:footnote w:type="continuationSeparator" w:id="0">
    <w:p w:rsidR="00AC6471" w:rsidRDefault="00AC6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E2" w:rsidRDefault="001A38E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40"/>
    <w:rsid w:val="00101A91"/>
    <w:rsid w:val="001A38E2"/>
    <w:rsid w:val="002B47DF"/>
    <w:rsid w:val="00AC6471"/>
    <w:rsid w:val="00C6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DF858"/>
  <w15:chartTrackingRefBased/>
  <w15:docId w15:val="{45A431FB-1E19-4481-92EE-4B2900D5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65F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65F40"/>
    <w:pPr>
      <w:spacing w:after="120"/>
      <w:ind w:leftChars="200" w:left="420"/>
    </w:pPr>
  </w:style>
  <w:style w:type="character" w:customStyle="1" w:styleId="a4">
    <w:name w:val="正文文本缩进 字符"/>
    <w:basedOn w:val="a0"/>
    <w:link w:val="a3"/>
    <w:uiPriority w:val="99"/>
    <w:semiHidden/>
    <w:rsid w:val="00C65F40"/>
    <w:rPr>
      <w:rFonts w:ascii="Times New Roman" w:eastAsia="宋体" w:hAnsi="Times New Roman" w:cs="Times New Roman"/>
      <w:szCs w:val="24"/>
    </w:rPr>
  </w:style>
  <w:style w:type="paragraph" w:styleId="2">
    <w:name w:val="Body Text First Indent 2"/>
    <w:next w:val="a5"/>
    <w:link w:val="20"/>
    <w:qFormat/>
    <w:rsid w:val="00C65F40"/>
    <w:pPr>
      <w:widowControl w:val="0"/>
      <w:spacing w:after="120"/>
      <w:jc w:val="both"/>
    </w:pPr>
    <w:rPr>
      <w:rFonts w:ascii="Times New Roman" w:eastAsia="仿宋_GB2312" w:hAnsi="Times New Roman" w:cs="Times New Roman"/>
      <w:sz w:val="32"/>
      <w:szCs w:val="24"/>
    </w:rPr>
  </w:style>
  <w:style w:type="character" w:customStyle="1" w:styleId="20">
    <w:name w:val="正文首行缩进 2 字符"/>
    <w:basedOn w:val="a4"/>
    <w:link w:val="2"/>
    <w:rsid w:val="00C65F40"/>
    <w:rPr>
      <w:rFonts w:ascii="Times New Roman" w:eastAsia="仿宋_GB2312" w:hAnsi="Times New Roman" w:cs="Times New Roman"/>
      <w:sz w:val="32"/>
      <w:szCs w:val="24"/>
    </w:rPr>
  </w:style>
  <w:style w:type="paragraph" w:styleId="a5">
    <w:name w:val="Body Text"/>
    <w:link w:val="a6"/>
    <w:qFormat/>
    <w:rsid w:val="00C65F40"/>
    <w:pPr>
      <w:widowControl w:val="0"/>
      <w:spacing w:after="120"/>
      <w:jc w:val="both"/>
    </w:pPr>
    <w:rPr>
      <w:rFonts w:ascii="Times New Roman" w:eastAsia="仿宋_GB2312" w:hAnsi="Times New Roman" w:cs="Times New Roman"/>
      <w:sz w:val="32"/>
      <w:szCs w:val="24"/>
    </w:rPr>
  </w:style>
  <w:style w:type="character" w:customStyle="1" w:styleId="a6">
    <w:name w:val="正文文本 字符"/>
    <w:basedOn w:val="a0"/>
    <w:link w:val="a5"/>
    <w:rsid w:val="00C65F40"/>
    <w:rPr>
      <w:rFonts w:ascii="Times New Roman" w:eastAsia="仿宋_GB2312" w:hAnsi="Times New Roman" w:cs="Times New Roman"/>
      <w:sz w:val="32"/>
      <w:szCs w:val="24"/>
    </w:rPr>
  </w:style>
  <w:style w:type="paragraph" w:styleId="a7">
    <w:name w:val="footer"/>
    <w:basedOn w:val="a"/>
    <w:link w:val="a8"/>
    <w:uiPriority w:val="99"/>
    <w:unhideWhenUsed/>
    <w:rsid w:val="00C65F40"/>
    <w:pPr>
      <w:tabs>
        <w:tab w:val="center" w:pos="4153"/>
        <w:tab w:val="right" w:pos="8306"/>
      </w:tabs>
      <w:snapToGrid w:val="0"/>
      <w:jc w:val="left"/>
    </w:pPr>
    <w:rPr>
      <w:sz w:val="18"/>
      <w:szCs w:val="18"/>
    </w:rPr>
  </w:style>
  <w:style w:type="character" w:customStyle="1" w:styleId="a8">
    <w:name w:val="页脚 字符"/>
    <w:basedOn w:val="a0"/>
    <w:link w:val="a7"/>
    <w:uiPriority w:val="99"/>
    <w:rsid w:val="00C65F40"/>
    <w:rPr>
      <w:rFonts w:ascii="Times New Roman" w:eastAsia="宋体" w:hAnsi="Times New Roman" w:cs="Times New Roman"/>
      <w:sz w:val="18"/>
      <w:szCs w:val="18"/>
    </w:rPr>
  </w:style>
  <w:style w:type="paragraph" w:styleId="a9">
    <w:name w:val="header"/>
    <w:basedOn w:val="a"/>
    <w:link w:val="aa"/>
    <w:uiPriority w:val="99"/>
    <w:unhideWhenUsed/>
    <w:rsid w:val="00C65F4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C65F40"/>
    <w:rPr>
      <w:rFonts w:ascii="Times New Roman" w:eastAsia="宋体" w:hAnsi="Times New Roman" w:cs="Times New Roman"/>
      <w:sz w:val="18"/>
      <w:szCs w:val="18"/>
    </w:rPr>
  </w:style>
  <w:style w:type="table" w:styleId="ab">
    <w:name w:val="Table Grid"/>
    <w:basedOn w:val="a1"/>
    <w:uiPriority w:val="59"/>
    <w:rsid w:val="00C65F40"/>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qFormat/>
    <w:rsid w:val="00C65F40"/>
  </w:style>
  <w:style w:type="paragraph" w:styleId="ad">
    <w:name w:val="Balloon Text"/>
    <w:basedOn w:val="a"/>
    <w:link w:val="ae"/>
    <w:uiPriority w:val="99"/>
    <w:semiHidden/>
    <w:unhideWhenUsed/>
    <w:rsid w:val="00C65F40"/>
    <w:rPr>
      <w:sz w:val="18"/>
      <w:szCs w:val="18"/>
    </w:rPr>
  </w:style>
  <w:style w:type="character" w:customStyle="1" w:styleId="ae">
    <w:name w:val="批注框文本 字符"/>
    <w:basedOn w:val="a0"/>
    <w:link w:val="ad"/>
    <w:uiPriority w:val="99"/>
    <w:semiHidden/>
    <w:rsid w:val="00C65F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542</Words>
  <Characters>3095</Characters>
  <Application>Microsoft Office Word</Application>
  <DocSecurity>0</DocSecurity>
  <Lines>25</Lines>
  <Paragraphs>7</Paragraphs>
  <ScaleCrop>false</ScaleCrop>
  <Company>微软中国</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2022-03-10T09:14:00Z</dcterms:created>
  <dcterms:modified xsi:type="dcterms:W3CDTF">2022-03-10T09:19:00Z</dcterms:modified>
</cp:coreProperties>
</file>